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112F0">
      <w:pPr>
        <w:jc w:val="center"/>
        <w:rPr>
          <w:rFonts w:hint="eastAsia" w:ascii="华文中宋" w:hAnsi="华文中宋" w:eastAsia="华文中宋" w:cs="宋体"/>
          <w:b/>
          <w:color w:val="auto"/>
          <w:kern w:val="0"/>
          <w:sz w:val="32"/>
          <w:szCs w:val="32"/>
          <w:lang w:val="en-US" w:eastAsia="zh-CN"/>
        </w:rPr>
      </w:pPr>
      <w:r>
        <w:rPr>
          <w:rFonts w:hint="eastAsia" w:ascii="华文中宋" w:hAnsi="华文中宋" w:eastAsia="华文中宋" w:cs="宋体"/>
          <w:b/>
          <w:color w:val="auto"/>
          <w:kern w:val="0"/>
          <w:sz w:val="32"/>
          <w:szCs w:val="32"/>
        </w:rPr>
        <w:t>甘肃玉门抽水蓄能电站施工期地质预报和地质灾害排查服务</w:t>
      </w:r>
      <w:r>
        <w:rPr>
          <w:rFonts w:hint="eastAsia" w:ascii="华文中宋" w:hAnsi="华文中宋" w:eastAsia="华文中宋" w:cs="宋体"/>
          <w:b/>
          <w:color w:val="auto"/>
          <w:kern w:val="0"/>
          <w:sz w:val="32"/>
          <w:szCs w:val="32"/>
          <w:lang w:val="en-US" w:eastAsia="zh-CN"/>
        </w:rPr>
        <w:t>劳务人员分包询比采购公告</w:t>
      </w:r>
    </w:p>
    <w:p w14:paraId="2FE3F44B">
      <w:pPr>
        <w:jc w:val="left"/>
        <w:rPr>
          <w:rFonts w:hint="eastAsia"/>
        </w:rPr>
      </w:pPr>
    </w:p>
    <w:p w14:paraId="6E870838">
      <w:pPr>
        <w:pStyle w:val="18"/>
        <w:bidi w:val="0"/>
        <w:ind w:left="0" w:leftChars="0" w:firstLine="0" w:firstLineChars="0"/>
      </w:pPr>
      <w:r>
        <w:rPr>
          <w:rFonts w:hint="eastAsia"/>
        </w:rPr>
        <w:t>发布单位:工程勘察院 发布日期: 2025 年</w:t>
      </w:r>
      <w:r>
        <w:rPr>
          <w:rFonts w:hint="eastAsia"/>
          <w:lang w:val="en-US" w:eastAsia="zh-CN"/>
        </w:rPr>
        <w:t>9</w:t>
      </w:r>
      <w:r>
        <w:rPr>
          <w:rFonts w:hint="eastAsia"/>
        </w:rPr>
        <w:t>月</w:t>
      </w:r>
      <w:r>
        <w:rPr>
          <w:rFonts w:hint="eastAsia"/>
          <w:lang w:val="en-US" w:eastAsia="zh-CN"/>
        </w:rPr>
        <w:t>5</w:t>
      </w:r>
      <w:r>
        <w:rPr>
          <w:rFonts w:hint="eastAsia"/>
        </w:rPr>
        <w:t>日</w:t>
      </w:r>
    </w:p>
    <w:p w14:paraId="04F04F3D">
      <w:pPr>
        <w:pStyle w:val="18"/>
        <w:bidi w:val="0"/>
        <w:rPr>
          <w:rFonts w:hint="default"/>
          <w:lang w:val="en-US" w:eastAsia="zh-CN"/>
        </w:rPr>
      </w:pPr>
      <w:r>
        <w:rPr>
          <w:rFonts w:hint="eastAsia"/>
        </w:rPr>
        <w:t>根据中水东北勘测设计研究有限责任公司《公</w:t>
      </w:r>
      <w:bookmarkStart w:id="0" w:name="_GoBack"/>
      <w:bookmarkEnd w:id="0"/>
      <w:r>
        <w:rPr>
          <w:rFonts w:hint="eastAsia"/>
        </w:rPr>
        <w:t>司采购管理办法》(中水东勘办[2024]313号)有关规定，地质勘察公司拟对“甘肃玉门抽水蓄能电站施工期地质预报和地质灾害排查服务”</w:t>
      </w:r>
      <w:r>
        <w:rPr>
          <w:rFonts w:hint="eastAsia"/>
          <w:lang w:val="en-US" w:eastAsia="zh-CN"/>
        </w:rPr>
        <w:t>劳务人员</w:t>
      </w:r>
      <w:r>
        <w:rPr>
          <w:rFonts w:hint="eastAsia"/>
        </w:rPr>
        <w:t>分包进行询比采购，遴选一家工程勘察院入围的合格供应商进行</w:t>
      </w:r>
      <w:r>
        <w:rPr>
          <w:rFonts w:hint="eastAsia"/>
          <w:lang w:val="en-US" w:eastAsia="zh-CN"/>
        </w:rPr>
        <w:t>劳务人员</w:t>
      </w:r>
      <w:r>
        <w:rPr>
          <w:rFonts w:hint="eastAsia"/>
        </w:rPr>
        <w:t>分包服务工作。为确保采购过程公开、公平、公正，现公开征招工程勘察院入围的合格供应商进行询比采购。</w:t>
      </w:r>
    </w:p>
    <w:p w14:paraId="30A96FB3">
      <w:pPr>
        <w:pStyle w:val="18"/>
        <w:bidi w:val="0"/>
        <w:ind w:left="0" w:leftChars="0" w:firstLine="0" w:firstLineChars="0"/>
        <w:rPr>
          <w:rFonts w:hint="eastAsia"/>
          <w:lang w:val="en-US" w:eastAsia="zh-CN"/>
        </w:rPr>
      </w:pPr>
      <w:r>
        <w:rPr>
          <w:rFonts w:hint="eastAsia"/>
          <w:lang w:val="en-US" w:eastAsia="zh-CN"/>
        </w:rPr>
        <w:t>1、公告时间：2025年9月5日至2025年9月10日</w:t>
      </w:r>
    </w:p>
    <w:p w14:paraId="2C27705F">
      <w:pPr>
        <w:pStyle w:val="18"/>
        <w:bidi w:val="0"/>
        <w:ind w:left="0" w:leftChars="0" w:firstLine="0" w:firstLineChars="0"/>
        <w:rPr>
          <w:rFonts w:hint="eastAsia"/>
          <w:lang w:eastAsia="zh-CN"/>
        </w:rPr>
      </w:pPr>
      <w:r>
        <w:rPr>
          <w:rFonts w:hint="eastAsia"/>
          <w:lang w:val="en-US" w:eastAsia="zh-CN"/>
        </w:rPr>
        <w:t>2、</w:t>
      </w:r>
      <w:r>
        <w:rPr>
          <w:rFonts w:hint="eastAsia"/>
        </w:rPr>
        <w:t>采购内容</w:t>
      </w:r>
      <w:r>
        <w:rPr>
          <w:rFonts w:hint="eastAsia"/>
          <w:lang w:eastAsia="zh-CN"/>
        </w:rPr>
        <w:t>：</w:t>
      </w:r>
      <w:r>
        <w:rPr>
          <w:rFonts w:hint="eastAsia"/>
        </w:rPr>
        <w:t>提供经我公司方面试合格的地质勘察专业高级工程师技术服务劳务人员。地质勘察技术劳务服务人员须服从我公司现场技术负责人的指挥和管理，我公司的标准和现场技术要求</w:t>
      </w:r>
      <w:r>
        <w:rPr>
          <w:rFonts w:hint="eastAsia"/>
          <w:lang w:val="en-US" w:eastAsia="zh-CN"/>
        </w:rPr>
        <w:t>如下</w:t>
      </w:r>
      <w:r>
        <w:rPr>
          <w:rFonts w:hint="eastAsia"/>
          <w:lang w:eastAsia="zh-CN"/>
        </w:rPr>
        <w:t>：</w:t>
      </w:r>
    </w:p>
    <w:p w14:paraId="0CB2937E">
      <w:pPr>
        <w:pStyle w:val="18"/>
        <w:bidi w:val="0"/>
        <w:rPr>
          <w:rFonts w:hint="eastAsia"/>
        </w:rPr>
      </w:pPr>
      <w:r>
        <w:rPr>
          <w:rFonts w:hint="eastAsia"/>
        </w:rPr>
        <w:t>（1）配合甲方的地质技术人员完成项目管理工作；</w:t>
      </w:r>
    </w:p>
    <w:p w14:paraId="59602EB6">
      <w:pPr>
        <w:pStyle w:val="18"/>
        <w:bidi w:val="0"/>
        <w:rPr>
          <w:rFonts w:hint="eastAsia"/>
        </w:rPr>
      </w:pPr>
      <w:r>
        <w:rPr>
          <w:rFonts w:hint="eastAsia"/>
        </w:rPr>
        <w:t>（2）配合项目资料编写与提交送达工作；</w:t>
      </w:r>
    </w:p>
    <w:p w14:paraId="76E68BB8">
      <w:pPr>
        <w:pStyle w:val="18"/>
        <w:bidi w:val="0"/>
        <w:rPr>
          <w:rFonts w:hint="eastAsia"/>
        </w:rPr>
      </w:pPr>
      <w:r>
        <w:rPr>
          <w:rFonts w:hint="eastAsia"/>
        </w:rPr>
        <w:t>（3）现场参加或组织协调相关会议（周例会、月例会、安全会议等）工作；</w:t>
      </w:r>
    </w:p>
    <w:p w14:paraId="5AF33B1C">
      <w:pPr>
        <w:pStyle w:val="18"/>
        <w:bidi w:val="0"/>
        <w:rPr>
          <w:rFonts w:hint="eastAsia"/>
        </w:rPr>
      </w:pPr>
      <w:r>
        <w:rPr>
          <w:rFonts w:hint="eastAsia"/>
        </w:rPr>
        <w:t>（4）配合地质预报报告编写工作；</w:t>
      </w:r>
    </w:p>
    <w:p w14:paraId="406A265B">
      <w:pPr>
        <w:pStyle w:val="18"/>
        <w:bidi w:val="0"/>
        <w:rPr>
          <w:rFonts w:hint="eastAsia"/>
        </w:rPr>
      </w:pPr>
      <w:r>
        <w:rPr>
          <w:rFonts w:hint="eastAsia"/>
        </w:rPr>
        <w:t>（5）为完成地质预报、地灾排查工作任务，协调甘肃酒泉抽水蓄能有限公司、监理、施工单位等部门，使工作顺利开展；</w:t>
      </w:r>
    </w:p>
    <w:p w14:paraId="5DBB979F">
      <w:pPr>
        <w:pStyle w:val="18"/>
        <w:bidi w:val="0"/>
        <w:rPr>
          <w:rFonts w:hint="eastAsia"/>
        </w:rPr>
      </w:pPr>
      <w:r>
        <w:rPr>
          <w:rFonts w:hint="eastAsia"/>
        </w:rPr>
        <w:t>（6）配合完成项目工程款结算工作；</w:t>
      </w:r>
    </w:p>
    <w:p w14:paraId="7A2A4887">
      <w:pPr>
        <w:pStyle w:val="18"/>
        <w:bidi w:val="0"/>
        <w:rPr>
          <w:rFonts w:hint="eastAsia"/>
        </w:rPr>
      </w:pPr>
      <w:r>
        <w:rPr>
          <w:rFonts w:hint="eastAsia"/>
        </w:rPr>
        <w:t>（7）按照中水东北公司质量环安体系要求，完成现场技术资料归档、安全资料编写及归档、相关质量文件编写及归档工作；</w:t>
      </w:r>
    </w:p>
    <w:p w14:paraId="4CA77924">
      <w:pPr>
        <w:pStyle w:val="18"/>
        <w:bidi w:val="0"/>
        <w:rPr>
          <w:rFonts w:hint="eastAsia"/>
        </w:rPr>
      </w:pPr>
      <w:r>
        <w:rPr>
          <w:rFonts w:hint="eastAsia"/>
        </w:rPr>
        <w:t>（8）管理现场规范用车。</w:t>
      </w:r>
    </w:p>
    <w:p w14:paraId="3834279F">
      <w:pPr>
        <w:pStyle w:val="18"/>
        <w:bidi w:val="0"/>
        <w:rPr>
          <w:rFonts w:hint="default"/>
          <w:lang w:val="en-US" w:eastAsia="zh-CN"/>
        </w:rPr>
      </w:pPr>
      <w:r>
        <w:rPr>
          <w:rFonts w:hint="eastAsia"/>
          <w:lang w:val="en-US" w:eastAsia="zh-CN"/>
        </w:rPr>
        <w:t>3、取费方式：</w:t>
      </w:r>
    </w:p>
    <w:p w14:paraId="4823D8AD">
      <w:pPr>
        <w:pStyle w:val="18"/>
        <w:bidi w:val="0"/>
        <w:rPr>
          <w:rFonts w:hint="eastAsia"/>
        </w:rPr>
      </w:pPr>
      <w:r>
        <w:rPr>
          <w:rFonts w:hint="eastAsia"/>
        </w:rPr>
        <w:t>（1）地质勘察技术服务每月每人含税单价￥      元，最终服务总费＝单价   元/人.月×实际人数×工作月数，当月工作天数不足30天的，当月单价按工作天数除以30天折减。</w:t>
      </w:r>
    </w:p>
    <w:p w14:paraId="6914F617">
      <w:pPr>
        <w:pStyle w:val="18"/>
        <w:bidi w:val="0"/>
        <w:rPr>
          <w:rFonts w:hint="eastAsia"/>
        </w:rPr>
      </w:pPr>
      <w:r>
        <w:rPr>
          <w:rFonts w:hint="eastAsia"/>
        </w:rPr>
        <w:t>（2）我公司负责劳务技术人员的往返工地现场交通费、住宿费、工地现场食宿。工资、差旅费、意外人身保险、劳动防护用品等一切费用，我公司不再承担。</w:t>
      </w:r>
    </w:p>
    <w:p w14:paraId="3B9D1EEE">
      <w:pPr>
        <w:pStyle w:val="18"/>
        <w:bidi w:val="0"/>
        <w:rPr>
          <w:rFonts w:hint="eastAsia"/>
        </w:rPr>
      </w:pPr>
      <w:r>
        <w:rPr>
          <w:rFonts w:hint="eastAsia"/>
        </w:rPr>
        <w:t>（3）本合同所列全部费用皆按增值税税率6%计算，乙方需按此税率开具增值税专用发票，如增值税专用发票税率低于6%，则在含税总价中扣除相应税率差价。</w:t>
      </w:r>
    </w:p>
    <w:p w14:paraId="3D0C5C17">
      <w:pPr>
        <w:pStyle w:val="18"/>
        <w:bidi w:val="0"/>
        <w:rPr>
          <w:rFonts w:hint="eastAsia"/>
        </w:rPr>
      </w:pPr>
      <w:r>
        <w:rPr>
          <w:rFonts w:hint="eastAsia"/>
        </w:rPr>
        <w:t>4、资格要求</w:t>
      </w:r>
    </w:p>
    <w:p w14:paraId="791606CD">
      <w:pPr>
        <w:pStyle w:val="18"/>
        <w:bidi w:val="0"/>
        <w:rPr>
          <w:lang w:val="zh-CN"/>
        </w:rPr>
      </w:pPr>
      <w:r>
        <w:rPr>
          <w:rFonts w:hint="eastAsia"/>
          <w:lang w:val="zh-CN"/>
        </w:rPr>
        <w:t>（</w:t>
      </w:r>
      <w:r>
        <w:rPr>
          <w:rFonts w:hint="eastAsia"/>
          <w:lang w:val="en-US" w:eastAsia="zh-CN"/>
        </w:rPr>
        <w:t>1</w:t>
      </w:r>
      <w:r>
        <w:rPr>
          <w:rFonts w:hint="eastAsia"/>
          <w:lang w:val="zh-CN"/>
        </w:rPr>
        <w:t>）</w:t>
      </w:r>
      <w:r>
        <w:rPr>
          <w:rFonts w:hint="eastAsia"/>
        </w:rPr>
        <w:t>供应商在中华人民共和国境内依法登记注册并具有独立法人资格，具备有效的营业执照，营业执照业务范围包含相关内容，</w:t>
      </w:r>
      <w:r>
        <w:rPr>
          <w:rFonts w:hint="eastAsia"/>
          <w:lang w:val="zh-CN"/>
        </w:rPr>
        <w:t>并在人员、设备、资金等方面</w:t>
      </w:r>
      <w:r>
        <w:rPr>
          <w:rFonts w:hint="eastAsia"/>
        </w:rPr>
        <w:t>均</w:t>
      </w:r>
      <w:r>
        <w:rPr>
          <w:rFonts w:hint="eastAsia"/>
          <w:lang w:val="zh-CN"/>
        </w:rPr>
        <w:t>具有相应</w:t>
      </w:r>
      <w:r>
        <w:rPr>
          <w:rFonts w:hint="eastAsia"/>
        </w:rPr>
        <w:t>作业</w:t>
      </w:r>
      <w:r>
        <w:rPr>
          <w:rFonts w:hint="eastAsia"/>
          <w:lang w:val="zh-CN"/>
        </w:rPr>
        <w:t>能力。</w:t>
      </w:r>
    </w:p>
    <w:p w14:paraId="5D0FD5D1">
      <w:pPr>
        <w:pStyle w:val="18"/>
        <w:bidi w:val="0"/>
      </w:pPr>
      <w:r>
        <w:rPr>
          <w:rFonts w:hint="eastAsia"/>
          <w:lang w:eastAsia="zh-CN"/>
        </w:rPr>
        <w:t>（</w:t>
      </w:r>
      <w:r>
        <w:rPr>
          <w:rFonts w:hint="eastAsia"/>
          <w:lang w:val="en-US" w:eastAsia="zh-CN"/>
        </w:rPr>
        <w:t>2</w:t>
      </w:r>
      <w:r>
        <w:rPr>
          <w:rFonts w:hint="eastAsia"/>
          <w:lang w:eastAsia="zh-CN"/>
        </w:rPr>
        <w:t>）</w:t>
      </w:r>
      <w:r>
        <w:rPr>
          <w:rFonts w:hint="eastAsia"/>
        </w:rPr>
        <w:t>近3年类似业绩不少于3项。</w:t>
      </w:r>
    </w:p>
    <w:p w14:paraId="2C853E9C">
      <w:pPr>
        <w:pStyle w:val="18"/>
        <w:bidi w:val="0"/>
        <w:rPr>
          <w:rFonts w:hint="eastAsia"/>
        </w:rPr>
      </w:pPr>
      <w:r>
        <w:rPr>
          <w:rFonts w:hint="eastAsia"/>
          <w:lang w:eastAsia="zh-CN"/>
        </w:rPr>
        <w:t>（</w:t>
      </w:r>
      <w:r>
        <w:rPr>
          <w:rFonts w:hint="eastAsia"/>
          <w:lang w:val="en-US" w:eastAsia="zh-CN"/>
        </w:rPr>
        <w:t>3</w:t>
      </w:r>
      <w:r>
        <w:rPr>
          <w:rFonts w:hint="eastAsia"/>
          <w:lang w:eastAsia="zh-CN"/>
        </w:rPr>
        <w:t>）</w:t>
      </w:r>
      <w:r>
        <w:rPr>
          <w:rFonts w:hint="eastAsia"/>
        </w:rPr>
        <w:t>供应商或法定代表人无行贿犯罪行为记录和违法失信行为记录。</w:t>
      </w:r>
    </w:p>
    <w:p w14:paraId="0853DD80">
      <w:pPr>
        <w:pStyle w:val="18"/>
        <w:bidi w:val="0"/>
        <w:rPr>
          <w:rFonts w:hint="default" w:eastAsia="宋体"/>
          <w:lang w:val="en-US" w:eastAsia="zh-CN"/>
        </w:rPr>
      </w:pPr>
      <w:r>
        <w:rPr>
          <w:rFonts w:hint="eastAsia"/>
          <w:lang w:eastAsia="zh-CN"/>
        </w:rPr>
        <w:t>（</w:t>
      </w:r>
      <w:r>
        <w:rPr>
          <w:rFonts w:hint="eastAsia"/>
          <w:lang w:val="en-US" w:eastAsia="zh-CN"/>
        </w:rPr>
        <w:t>4</w:t>
      </w:r>
      <w:r>
        <w:rPr>
          <w:rFonts w:hint="eastAsia"/>
          <w:lang w:eastAsia="zh-CN"/>
        </w:rPr>
        <w:t>）</w:t>
      </w:r>
      <w:r>
        <w:rPr>
          <w:rFonts w:hint="eastAsia"/>
          <w:lang w:val="en-US" w:eastAsia="zh-CN"/>
        </w:rPr>
        <w:t>供应商应具备地质灾害危险性评估工程勘察设计资质或水利行业资质。</w:t>
      </w:r>
    </w:p>
    <w:p w14:paraId="1F85C5E9">
      <w:pPr>
        <w:pStyle w:val="18"/>
        <w:bidi w:val="0"/>
        <w:rPr>
          <w:rFonts w:hint="eastAsia"/>
        </w:rPr>
      </w:pPr>
      <w:r>
        <w:rPr>
          <w:rFonts w:hint="eastAsia"/>
        </w:rPr>
        <w:t>5、质量要求</w:t>
      </w:r>
    </w:p>
    <w:p w14:paraId="138B6F14">
      <w:pPr>
        <w:pStyle w:val="18"/>
        <w:bidi w:val="0"/>
        <w:rPr>
          <w:rFonts w:hint="eastAsia"/>
        </w:rPr>
      </w:pPr>
      <w:r>
        <w:rPr>
          <w:rFonts w:hint="eastAsia"/>
          <w:lang w:eastAsia="zh-CN"/>
        </w:rPr>
        <w:t>（</w:t>
      </w:r>
      <w:r>
        <w:rPr>
          <w:rFonts w:hint="eastAsia"/>
          <w:lang w:val="en-US" w:eastAsia="zh-CN"/>
        </w:rPr>
        <w:t>1</w:t>
      </w:r>
      <w:r>
        <w:rPr>
          <w:rFonts w:hint="eastAsia"/>
          <w:lang w:eastAsia="zh-CN"/>
        </w:rPr>
        <w:t>）</w:t>
      </w:r>
      <w:r>
        <w:rPr>
          <w:rFonts w:hint="eastAsia"/>
        </w:rPr>
        <w:t>要求为地质专业高级工程师，每年常驻现场不少于270天。</w:t>
      </w:r>
    </w:p>
    <w:p w14:paraId="4537C692">
      <w:pPr>
        <w:pStyle w:val="18"/>
        <w:bidi w:val="0"/>
        <w:rPr>
          <w:rFonts w:hint="eastAsia"/>
        </w:rPr>
      </w:pPr>
      <w:r>
        <w:rPr>
          <w:rFonts w:hint="eastAsia"/>
          <w:lang w:eastAsia="zh-CN"/>
        </w:rPr>
        <w:t>（</w:t>
      </w:r>
      <w:r>
        <w:rPr>
          <w:rFonts w:hint="eastAsia"/>
          <w:lang w:val="en-US" w:eastAsia="zh-CN"/>
        </w:rPr>
        <w:t>2</w:t>
      </w:r>
      <w:r>
        <w:rPr>
          <w:rFonts w:hint="eastAsia"/>
          <w:lang w:eastAsia="zh-CN"/>
        </w:rPr>
        <w:t>）</w:t>
      </w:r>
      <w:r>
        <w:rPr>
          <w:rFonts w:hint="eastAsia"/>
        </w:rPr>
        <w:t>地质专业高级工程师，经地质勘察公司面试合格。</w:t>
      </w:r>
    </w:p>
    <w:p w14:paraId="05AE0C0A">
      <w:pPr>
        <w:pStyle w:val="18"/>
        <w:bidi w:val="0"/>
        <w:rPr>
          <w:rFonts w:hint="eastAsia"/>
          <w:lang w:val="en-US" w:eastAsia="zh-CN"/>
        </w:rPr>
      </w:pPr>
      <w:r>
        <w:rPr>
          <w:rFonts w:hint="eastAsia"/>
          <w:lang w:val="en-US" w:eastAsia="zh-CN"/>
        </w:rPr>
        <w:t>6</w:t>
      </w:r>
      <w:r>
        <w:rPr>
          <w:rFonts w:hint="eastAsia"/>
        </w:rPr>
        <w:t>、</w:t>
      </w:r>
      <w:r>
        <w:rPr>
          <w:rFonts w:hint="eastAsia"/>
          <w:lang w:val="en-US" w:eastAsia="zh-CN"/>
        </w:rPr>
        <w:t>工期要求</w:t>
      </w:r>
    </w:p>
    <w:p w14:paraId="7B4B20E2">
      <w:pPr>
        <w:pStyle w:val="18"/>
        <w:bidi w:val="0"/>
        <w:rPr>
          <w:rFonts w:hint="eastAsia"/>
        </w:rPr>
      </w:pPr>
      <w:r>
        <w:rPr>
          <w:rFonts w:hint="eastAsia"/>
        </w:rPr>
        <w:t>每年常驻现场不少于270天</w:t>
      </w:r>
    </w:p>
    <w:p w14:paraId="2E34722B">
      <w:pPr>
        <w:pStyle w:val="18"/>
        <w:bidi w:val="0"/>
        <w:rPr>
          <w:rFonts w:hint="eastAsia"/>
        </w:rPr>
      </w:pPr>
      <w:r>
        <w:rPr>
          <w:rFonts w:hint="eastAsia"/>
          <w:lang w:val="en-US" w:eastAsia="zh-CN"/>
        </w:rPr>
        <w:t>7、</w:t>
      </w:r>
      <w:r>
        <w:rPr>
          <w:rFonts w:hint="eastAsia"/>
        </w:rPr>
        <w:t>采购资料领取方式</w:t>
      </w:r>
    </w:p>
    <w:p w14:paraId="0144E7B7">
      <w:pPr>
        <w:pStyle w:val="18"/>
        <w:bidi w:val="0"/>
      </w:pPr>
      <w:r>
        <w:rPr>
          <w:rFonts w:hint="eastAsia"/>
        </w:rPr>
        <w:t>领取方式：现场领取[中水东北勘测设计研究有限责任公司工程勘察院（长春市绿园区春城大街978号）]</w:t>
      </w:r>
    </w:p>
    <w:p w14:paraId="4B79F693">
      <w:pPr>
        <w:pStyle w:val="18"/>
        <w:bidi w:val="0"/>
      </w:pPr>
      <w:r>
        <w:rPr>
          <w:rFonts w:hint="eastAsia"/>
          <w:lang w:val="en-US" w:eastAsia="zh-CN"/>
        </w:rPr>
        <w:t>8、</w:t>
      </w:r>
      <w:r>
        <w:rPr>
          <w:rFonts w:hint="eastAsia"/>
        </w:rPr>
        <w:t>报名所需材料及报名方式</w:t>
      </w:r>
    </w:p>
    <w:p w14:paraId="20F54DDB">
      <w:pPr>
        <w:pStyle w:val="18"/>
        <w:bidi w:val="0"/>
      </w:pPr>
      <w:r>
        <w:rPr>
          <w:rFonts w:hint="eastAsia"/>
        </w:rPr>
        <w:t>报名时间：</w:t>
      </w:r>
      <w:r>
        <w:rPr>
          <w:rFonts w:hint="eastAsia"/>
          <w:lang w:val="en-US" w:eastAsia="zh-CN"/>
        </w:rPr>
        <w:t>2025</w:t>
      </w:r>
      <w:r>
        <w:rPr>
          <w:rFonts w:hint="eastAsia"/>
        </w:rPr>
        <w:t>年</w:t>
      </w:r>
      <w:r>
        <w:rPr>
          <w:rFonts w:hint="eastAsia"/>
          <w:lang w:val="en-US" w:eastAsia="zh-CN"/>
        </w:rPr>
        <w:t xml:space="preserve"> 9 </w:t>
      </w:r>
      <w:r>
        <w:rPr>
          <w:rFonts w:hint="eastAsia"/>
        </w:rPr>
        <w:t>月</w:t>
      </w:r>
      <w:r>
        <w:rPr>
          <w:rFonts w:hint="eastAsia"/>
          <w:lang w:val="en-US" w:eastAsia="zh-CN"/>
        </w:rPr>
        <w:t xml:space="preserve"> 5</w:t>
      </w:r>
      <w:r>
        <w:rPr>
          <w:rFonts w:hint="eastAsia"/>
        </w:rPr>
        <w:t>日</w:t>
      </w:r>
      <w:r>
        <w:rPr>
          <w:rFonts w:hint="eastAsia"/>
          <w:lang w:val="en-US" w:eastAsia="zh-CN"/>
        </w:rPr>
        <w:t xml:space="preserve"> 9 </w:t>
      </w:r>
      <w:r>
        <w:rPr>
          <w:rFonts w:hint="eastAsia"/>
        </w:rPr>
        <w:t>时整至</w:t>
      </w:r>
      <w:r>
        <w:rPr>
          <w:rFonts w:hint="eastAsia"/>
          <w:lang w:val="en-US" w:eastAsia="zh-CN"/>
        </w:rPr>
        <w:t xml:space="preserve"> 9</w:t>
      </w:r>
      <w:r>
        <w:rPr>
          <w:rFonts w:hint="eastAsia"/>
        </w:rPr>
        <w:t>月</w:t>
      </w:r>
      <w:r>
        <w:rPr>
          <w:rFonts w:hint="eastAsia"/>
          <w:lang w:val="en-US" w:eastAsia="zh-CN"/>
        </w:rPr>
        <w:t xml:space="preserve"> 10</w:t>
      </w:r>
      <w:r>
        <w:rPr>
          <w:rFonts w:hint="eastAsia"/>
        </w:rPr>
        <w:t>日</w:t>
      </w:r>
      <w:r>
        <w:rPr>
          <w:rFonts w:hint="eastAsia"/>
          <w:lang w:val="en-US" w:eastAsia="zh-CN"/>
        </w:rPr>
        <w:t xml:space="preserve"> 9</w:t>
      </w:r>
      <w:r>
        <w:rPr>
          <w:rFonts w:hint="eastAsia"/>
        </w:rPr>
        <w:t>时整</w:t>
      </w:r>
      <w:r>
        <w:rPr>
          <w:rFonts w:hint="eastAsia"/>
          <w:lang w:eastAsia="zh-CN"/>
        </w:rPr>
        <w:t>。</w:t>
      </w:r>
    </w:p>
    <w:p w14:paraId="7DB89170">
      <w:pPr>
        <w:pStyle w:val="18"/>
        <w:bidi w:val="0"/>
      </w:pPr>
      <w:r>
        <w:rPr>
          <w:rFonts w:hint="eastAsia"/>
        </w:rPr>
        <w:t>报名材料：报价函</w:t>
      </w:r>
      <w:r>
        <w:rPr>
          <w:rFonts w:hint="eastAsia"/>
          <w:lang w:eastAsia="zh-CN"/>
        </w:rPr>
        <w:t>（</w:t>
      </w:r>
      <w:r>
        <w:rPr>
          <w:rFonts w:hint="eastAsia"/>
          <w:lang w:val="en-US" w:eastAsia="zh-CN"/>
        </w:rPr>
        <w:t>见附件1</w:t>
      </w:r>
      <w:r>
        <w:rPr>
          <w:rFonts w:hint="eastAsia"/>
          <w:lang w:eastAsia="zh-CN"/>
        </w:rPr>
        <w:t>）</w:t>
      </w:r>
      <w:r>
        <w:rPr>
          <w:rFonts w:hint="eastAsia"/>
        </w:rPr>
        <w:t>(盖企业鲜章)</w:t>
      </w:r>
    </w:p>
    <w:p w14:paraId="2CB06F73">
      <w:pPr>
        <w:pStyle w:val="18"/>
        <w:bidi w:val="0"/>
      </w:pPr>
      <w:r>
        <w:rPr>
          <w:rFonts w:hint="eastAsia"/>
        </w:rPr>
        <w:t>报名方式：将纸质版材料于</w:t>
      </w:r>
      <w:r>
        <w:rPr>
          <w:rFonts w:hint="eastAsia"/>
          <w:lang w:val="en-US" w:eastAsia="zh-CN"/>
        </w:rPr>
        <w:t>9</w:t>
      </w:r>
      <w:r>
        <w:rPr>
          <w:rFonts w:hint="eastAsia"/>
        </w:rPr>
        <w:t>月</w:t>
      </w:r>
      <w:r>
        <w:rPr>
          <w:rFonts w:hint="eastAsia"/>
          <w:lang w:val="en-US" w:eastAsia="zh-CN"/>
        </w:rPr>
        <w:t>10</w:t>
      </w:r>
      <w:r>
        <w:rPr>
          <w:rFonts w:hint="eastAsia"/>
        </w:rPr>
        <w:t>日前邮寄到中水东北勘测设计研究有限责任公司工程勘察院（长春市绿园区春城大街978号）</w:t>
      </w:r>
    </w:p>
    <w:p w14:paraId="07B048B3">
      <w:pPr>
        <w:pStyle w:val="18"/>
        <w:bidi w:val="0"/>
        <w:rPr>
          <w:rFonts w:hint="default"/>
          <w:lang w:val="en-US" w:eastAsia="zh-CN"/>
        </w:rPr>
      </w:pPr>
      <w:r>
        <w:rPr>
          <w:rFonts w:hint="eastAsia"/>
        </w:rPr>
        <w:t>联系人：</w:t>
      </w:r>
      <w:r>
        <w:rPr>
          <w:rFonts w:hint="eastAsia"/>
          <w:lang w:val="en-US" w:eastAsia="zh-CN"/>
        </w:rPr>
        <w:t>于翼嘉</w:t>
      </w:r>
      <w:r>
        <w:rPr>
          <w:rFonts w:hint="eastAsia"/>
        </w:rPr>
        <w:t>，联系电话：</w:t>
      </w:r>
      <w:r>
        <w:rPr>
          <w:rFonts w:hint="eastAsia"/>
          <w:lang w:val="en-US" w:eastAsia="zh-CN"/>
        </w:rPr>
        <w:t>15948057715</w:t>
      </w:r>
    </w:p>
    <w:p w14:paraId="10E1BE2B">
      <w:pPr>
        <w:pStyle w:val="18"/>
        <w:bidi w:val="0"/>
      </w:pPr>
      <w:r>
        <w:rPr>
          <w:rFonts w:hint="eastAsia"/>
        </w:rPr>
        <w:t>审核时间：</w:t>
      </w:r>
      <w:r>
        <w:rPr>
          <w:rFonts w:hint="eastAsia"/>
          <w:lang w:val="en-US" w:eastAsia="zh-CN"/>
        </w:rPr>
        <w:t xml:space="preserve">2025 </w:t>
      </w:r>
      <w:r>
        <w:rPr>
          <w:rFonts w:hint="eastAsia"/>
        </w:rPr>
        <w:t>年</w:t>
      </w:r>
      <w:r>
        <w:rPr>
          <w:rFonts w:hint="eastAsia"/>
          <w:lang w:val="en-US" w:eastAsia="zh-CN"/>
        </w:rPr>
        <w:t xml:space="preserve"> 9 </w:t>
      </w:r>
      <w:r>
        <w:rPr>
          <w:rFonts w:hint="eastAsia"/>
        </w:rPr>
        <w:t>月</w:t>
      </w:r>
      <w:r>
        <w:rPr>
          <w:rFonts w:hint="eastAsia"/>
          <w:lang w:val="en-US" w:eastAsia="zh-CN"/>
        </w:rPr>
        <w:t xml:space="preserve"> 10 </w:t>
      </w:r>
      <w:r>
        <w:rPr>
          <w:rFonts w:hint="eastAsia"/>
        </w:rPr>
        <w:t>日</w:t>
      </w:r>
      <w:r>
        <w:rPr>
          <w:rFonts w:hint="eastAsia"/>
          <w:lang w:val="en-US" w:eastAsia="zh-CN"/>
        </w:rPr>
        <w:t xml:space="preserve"> 9 </w:t>
      </w:r>
      <w:r>
        <w:rPr>
          <w:rFonts w:hint="eastAsia"/>
        </w:rPr>
        <w:t>时整至</w:t>
      </w:r>
      <w:r>
        <w:rPr>
          <w:rFonts w:hint="eastAsia"/>
          <w:lang w:val="en-US" w:eastAsia="zh-CN"/>
        </w:rPr>
        <w:t xml:space="preserve"> 9 </w:t>
      </w:r>
      <w:r>
        <w:rPr>
          <w:rFonts w:hint="eastAsia"/>
        </w:rPr>
        <w:t>月</w:t>
      </w:r>
      <w:r>
        <w:rPr>
          <w:rFonts w:hint="eastAsia"/>
          <w:lang w:val="en-US" w:eastAsia="zh-CN"/>
        </w:rPr>
        <w:t xml:space="preserve"> 10 </w:t>
      </w:r>
      <w:r>
        <w:rPr>
          <w:rFonts w:hint="eastAsia"/>
        </w:rPr>
        <w:t>日</w:t>
      </w:r>
      <w:r>
        <w:rPr>
          <w:rFonts w:hint="eastAsia"/>
          <w:lang w:val="en-US" w:eastAsia="zh-CN"/>
        </w:rPr>
        <w:t xml:space="preserve"> 11 </w:t>
      </w:r>
      <w:r>
        <w:rPr>
          <w:rFonts w:hint="eastAsia"/>
        </w:rPr>
        <w:t>时整</w:t>
      </w:r>
    </w:p>
    <w:p w14:paraId="3F492182">
      <w:pPr>
        <w:pStyle w:val="18"/>
        <w:bidi w:val="0"/>
      </w:pPr>
      <w:r>
        <w:rPr>
          <w:rFonts w:hint="eastAsia"/>
        </w:rPr>
        <w:t>9、评审方式及合同签订</w:t>
      </w:r>
    </w:p>
    <w:p w14:paraId="7397404E">
      <w:pPr>
        <w:pStyle w:val="18"/>
        <w:bidi w:val="0"/>
      </w:pPr>
      <w:r>
        <w:rPr>
          <w:rFonts w:hint="eastAsia"/>
        </w:rPr>
        <w:t>中水东北勘测设计研究有限责任公司地质勘察公司成立评审小组，由评审小组审核确定供方后签订合同，签订合同后开展施工劳务服务工作。</w:t>
      </w:r>
    </w:p>
    <w:p w14:paraId="0C8AE680">
      <w:pPr>
        <w:pStyle w:val="18"/>
        <w:bidi w:val="0"/>
      </w:pPr>
      <w:r>
        <w:rPr>
          <w:rFonts w:hint="eastAsia"/>
        </w:rPr>
        <w:t>10、联系方式</w:t>
      </w:r>
    </w:p>
    <w:p w14:paraId="47B98136">
      <w:pPr>
        <w:pStyle w:val="18"/>
        <w:bidi w:val="0"/>
        <w:rPr>
          <w:rFonts w:hint="default"/>
          <w:lang w:val="en-US" w:eastAsia="zh-CN"/>
        </w:rPr>
      </w:pPr>
      <w:r>
        <w:rPr>
          <w:rFonts w:hint="eastAsia"/>
        </w:rPr>
        <w:t>联系人：</w:t>
      </w:r>
      <w:r>
        <w:rPr>
          <w:rFonts w:hint="eastAsia"/>
          <w:lang w:val="en-US" w:eastAsia="zh-CN"/>
        </w:rPr>
        <w:t>于翼嘉</w:t>
      </w:r>
      <w:r>
        <w:rPr>
          <w:rFonts w:hint="eastAsia"/>
        </w:rPr>
        <w:t xml:space="preserve">  联系电话：</w:t>
      </w:r>
      <w:r>
        <w:rPr>
          <w:rFonts w:hint="eastAsia"/>
          <w:lang w:val="en-US" w:eastAsia="zh-CN"/>
        </w:rPr>
        <w:t>15948057715</w:t>
      </w:r>
    </w:p>
    <w:p w14:paraId="7B7ED08F">
      <w:pPr>
        <w:pStyle w:val="18"/>
        <w:bidi w:val="0"/>
        <w:ind w:firstLine="1200" w:firstLineChars="500"/>
        <w:rPr>
          <w:rFonts w:hint="eastAsia"/>
        </w:rPr>
      </w:pPr>
    </w:p>
    <w:p w14:paraId="329EBDC0">
      <w:pPr>
        <w:pStyle w:val="18"/>
        <w:bidi w:val="0"/>
        <w:ind w:firstLine="4320" w:firstLineChars="1800"/>
      </w:pPr>
      <w:r>
        <w:rPr>
          <w:rFonts w:hint="eastAsia"/>
        </w:rPr>
        <w:t>中水东北勘测设计研究有限责任公司</w:t>
      </w:r>
    </w:p>
    <w:p w14:paraId="07016397">
      <w:pPr>
        <w:pStyle w:val="18"/>
        <w:bidi w:val="0"/>
        <w:rPr>
          <w:rFonts w:hint="eastAsia"/>
          <w:lang w:val="en-US" w:eastAsia="zh-CN"/>
        </w:rPr>
      </w:pPr>
      <w:r>
        <w:rPr>
          <w:rFonts w:hint="eastAsia"/>
          <w:lang w:val="en-US" w:eastAsia="zh-CN"/>
        </w:rPr>
        <w:t xml:space="preserve">                                          2025年9月5日</w:t>
      </w:r>
    </w:p>
    <w:p w14:paraId="0EE22D05">
      <w:pPr>
        <w:rPr>
          <w:rFonts w:hint="eastAsia"/>
          <w:lang w:val="en-US" w:eastAsia="zh-CN"/>
        </w:rPr>
      </w:pPr>
      <w:r>
        <w:rPr>
          <w:rFonts w:hint="eastAsia"/>
          <w:lang w:val="en-US" w:eastAsia="zh-CN"/>
        </w:rPr>
        <w:br w:type="page"/>
      </w:r>
    </w:p>
    <w:p w14:paraId="61D50C27">
      <w:pPr>
        <w:pStyle w:val="21"/>
        <w:bidi w:val="0"/>
        <w:rPr>
          <w:rFonts w:hint="default"/>
          <w:lang w:val="en-US" w:eastAsia="zh-CN"/>
        </w:rPr>
      </w:pPr>
      <w:r>
        <w:rPr>
          <w:rFonts w:hint="eastAsia"/>
          <w:lang w:val="en-US" w:eastAsia="zh-CN"/>
        </w:rPr>
        <w:t>附件1</w:t>
      </w:r>
    </w:p>
    <w:p w14:paraId="1A0E8F25">
      <w:pPr>
        <w:pStyle w:val="22"/>
        <w:ind w:left="0" w:leftChars="0" w:firstLine="0" w:firstLineChars="0"/>
        <w:rPr>
          <w:rFonts w:hint="default"/>
          <w:lang w:val="en-US" w:eastAsia="zh-CN"/>
        </w:rPr>
      </w:pPr>
    </w:p>
    <w:p w14:paraId="1D5CBE65">
      <w:pPr>
        <w:pStyle w:val="15"/>
        <w:bidi w:val="0"/>
        <w:jc w:val="center"/>
        <w:rPr>
          <w:rFonts w:hint="eastAsia"/>
        </w:rPr>
      </w:pPr>
      <w:r>
        <w:rPr>
          <w:rFonts w:hint="eastAsia"/>
          <w:lang w:val="en-US" w:eastAsia="zh-CN"/>
        </w:rPr>
        <w:t>劳务技术人员</w:t>
      </w:r>
      <w:r>
        <w:rPr>
          <w:rFonts w:hint="eastAsia"/>
        </w:rPr>
        <w:t>询价复函</w:t>
      </w:r>
    </w:p>
    <w:p w14:paraId="7ACD0642">
      <w:pPr>
        <w:spacing w:line="360" w:lineRule="auto"/>
        <w:rPr>
          <w:rFonts w:hint="eastAsia" w:ascii="宋体" w:hAnsi="宋体" w:eastAsia="宋体"/>
          <w:sz w:val="24"/>
          <w:szCs w:val="24"/>
        </w:rPr>
      </w:pPr>
    </w:p>
    <w:p w14:paraId="167233F1">
      <w:pPr>
        <w:spacing w:line="360" w:lineRule="auto"/>
        <w:rPr>
          <w:rFonts w:ascii="宋体" w:hAnsi="宋体" w:eastAsia="宋体"/>
          <w:sz w:val="24"/>
          <w:szCs w:val="24"/>
        </w:rPr>
      </w:pPr>
      <w:r>
        <w:rPr>
          <w:rFonts w:hint="eastAsia" w:ascii="宋体" w:hAnsi="宋体" w:eastAsia="宋体"/>
          <w:sz w:val="24"/>
          <w:szCs w:val="24"/>
        </w:rPr>
        <w:t>中水东北勘测设计研究有限责任公司：</w:t>
      </w:r>
    </w:p>
    <w:p w14:paraId="2554EE27">
      <w:pPr>
        <w:widowControl/>
        <w:spacing w:line="360" w:lineRule="auto"/>
        <w:ind w:firstLine="480" w:firstLineChars="200"/>
        <w:rPr>
          <w:rFonts w:ascii="宋体" w:hAnsi="宋体" w:eastAsia="宋体"/>
          <w:sz w:val="24"/>
          <w:szCs w:val="24"/>
        </w:rPr>
      </w:pPr>
      <w:r>
        <w:rPr>
          <w:rFonts w:hint="eastAsia" w:ascii="宋体" w:hAnsi="宋体" w:eastAsia="宋体"/>
          <w:sz w:val="24"/>
          <w:szCs w:val="24"/>
        </w:rPr>
        <w:t>贵公司</w:t>
      </w:r>
      <w:r>
        <w:rPr>
          <w:rFonts w:hint="eastAsia" w:ascii="宋体" w:hAnsi="宋体" w:eastAsia="宋体" w:cs="宋体"/>
          <w:b/>
          <w:bCs/>
          <w:color w:val="000000"/>
          <w:kern w:val="0"/>
          <w:sz w:val="24"/>
          <w:szCs w:val="24"/>
          <w:u w:val="single"/>
          <w:lang w:val="en-US" w:eastAsia="zh-CN" w:bidi="ar"/>
        </w:rPr>
        <w:t>甘肃玉门抽水蓄能电站施工期地质预报和地质灾害排查服务劳务人员</w:t>
      </w:r>
      <w:r>
        <w:rPr>
          <w:rFonts w:hint="eastAsia" w:ascii="宋体" w:hAnsi="宋体" w:eastAsia="宋体"/>
          <w:sz w:val="24"/>
          <w:szCs w:val="24"/>
        </w:rPr>
        <w:t>询价已收悉，针对该项目工作内容，经我公司慎重研究，拟响应贵公司的询价，报价如下：</w:t>
      </w:r>
    </w:p>
    <w:p w14:paraId="4126BD1A">
      <w:pPr>
        <w:spacing w:line="360" w:lineRule="auto"/>
        <w:jc w:val="both"/>
        <w:rPr>
          <w:rFonts w:hint="eastAsia" w:ascii="宋体" w:hAnsi="宋体" w:eastAsia="宋体"/>
          <w:sz w:val="24"/>
          <w:szCs w:val="24"/>
        </w:rPr>
      </w:pPr>
    </w:p>
    <w:p w14:paraId="25D54919">
      <w:pPr>
        <w:spacing w:line="360" w:lineRule="auto"/>
        <w:ind w:firstLine="3840" w:firstLineChars="1600"/>
        <w:jc w:val="both"/>
        <w:rPr>
          <w:rFonts w:ascii="宋体" w:hAnsi="宋体" w:eastAsia="宋体"/>
          <w:sz w:val="24"/>
          <w:szCs w:val="24"/>
        </w:rPr>
      </w:pPr>
      <w:r>
        <w:rPr>
          <w:rFonts w:hint="eastAsia" w:ascii="宋体" w:hAnsi="宋体" w:eastAsia="宋体"/>
          <w:sz w:val="24"/>
          <w:szCs w:val="24"/>
        </w:rPr>
        <w:t>报价表</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26"/>
        <w:gridCol w:w="2496"/>
      </w:tblGrid>
      <w:tr w14:paraId="25A97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3535" w:type="pct"/>
            <w:shd w:val="clear" w:color="auto" w:fill="auto"/>
            <w:noWrap/>
            <w:vAlign w:val="bottom"/>
          </w:tcPr>
          <w:p w14:paraId="5B0ECF20">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类别</w:t>
            </w:r>
          </w:p>
        </w:tc>
        <w:tc>
          <w:tcPr>
            <w:tcW w:w="1464" w:type="pct"/>
            <w:shd w:val="clear" w:color="auto" w:fill="auto"/>
            <w:noWrap/>
            <w:vAlign w:val="bottom"/>
          </w:tcPr>
          <w:p w14:paraId="11713272">
            <w:pPr>
              <w:widowControl/>
              <w:spacing w:line="36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收费基价</w:t>
            </w:r>
          </w:p>
        </w:tc>
      </w:tr>
      <w:tr w14:paraId="43F1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3535" w:type="pct"/>
            <w:shd w:val="clear" w:color="auto" w:fill="auto"/>
            <w:noWrap/>
            <w:vAlign w:val="center"/>
          </w:tcPr>
          <w:p w14:paraId="09709C00">
            <w:pPr>
              <w:widowControl/>
              <w:spacing w:line="240" w:lineRule="auto"/>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劳务技术人员</w:t>
            </w:r>
          </w:p>
        </w:tc>
        <w:tc>
          <w:tcPr>
            <w:tcW w:w="1464" w:type="pct"/>
            <w:shd w:val="clear" w:color="auto" w:fill="auto"/>
            <w:noWrap/>
            <w:vAlign w:val="center"/>
          </w:tcPr>
          <w:p w14:paraId="07362056">
            <w:pPr>
              <w:widowControl/>
              <w:spacing w:line="360" w:lineRule="auto"/>
              <w:jc w:val="center"/>
              <w:rPr>
                <w:rFonts w:hint="default" w:ascii="Times New Roman" w:hAnsi="Times New Roman" w:eastAsia="宋体" w:cs="Times New Roman"/>
                <w:color w:val="000000"/>
                <w:kern w:val="0"/>
                <w:sz w:val="24"/>
                <w:szCs w:val="24"/>
                <w:lang w:val="en-US" w:eastAsia="zh-CN"/>
              </w:rPr>
            </w:pPr>
          </w:p>
        </w:tc>
      </w:tr>
    </w:tbl>
    <w:p w14:paraId="51313F0E">
      <w:pPr>
        <w:keepNext w:val="0"/>
        <w:keepLines w:val="0"/>
        <w:pageBreakBefore w:val="0"/>
        <w:widowControl w:val="0"/>
        <w:kinsoku/>
        <w:wordWrap/>
        <w:overflowPunct/>
        <w:topLinePunct w:val="0"/>
        <w:autoSpaceDE/>
        <w:autoSpaceDN/>
        <w:bidi w:val="0"/>
        <w:adjustRightInd/>
        <w:snapToGrid/>
        <w:spacing w:line="320" w:lineRule="exact"/>
        <w:ind w:firstLine="392" w:firstLineChars="196"/>
        <w:textAlignment w:val="auto"/>
        <w:rPr>
          <w:rFonts w:hint="eastAsia" w:ascii="宋体" w:hAnsi="宋体" w:eastAsia="宋体" w:cs="宋体"/>
          <w:color w:val="auto"/>
          <w:kern w:val="0"/>
          <w:sz w:val="24"/>
          <w:szCs w:val="24"/>
        </w:rPr>
      </w:pPr>
      <w:r>
        <w:rPr>
          <w:rFonts w:hint="eastAsia" w:ascii="宋体" w:hAnsi="宋体" w:eastAsia="宋体"/>
          <w:sz w:val="20"/>
          <w:szCs w:val="20"/>
          <w:lang w:val="en-US" w:eastAsia="zh-CN"/>
        </w:rPr>
        <w:t>注：甲方负责乙方人员的往返工地现场交通费、住宿费、工地现场食宿。乙方每月每人综合费用包括工资、差旅费、意外人身保险、劳动防护用品等一切费用。</w:t>
      </w:r>
    </w:p>
    <w:p w14:paraId="5C2B25BF">
      <w:pPr>
        <w:spacing w:line="360" w:lineRule="auto"/>
        <w:rPr>
          <w:rFonts w:hint="default" w:ascii="宋体" w:hAnsi="宋体" w:eastAsia="宋体"/>
          <w:sz w:val="24"/>
          <w:szCs w:val="24"/>
          <w:lang w:val="en-US" w:eastAsia="zh-CN"/>
        </w:rPr>
      </w:pPr>
    </w:p>
    <w:p w14:paraId="4DADCAA3">
      <w:pPr>
        <w:spacing w:line="360" w:lineRule="auto"/>
        <w:rPr>
          <w:rFonts w:ascii="宋体" w:hAnsi="宋体" w:eastAsia="宋体"/>
          <w:sz w:val="24"/>
          <w:szCs w:val="24"/>
        </w:rPr>
      </w:pPr>
    </w:p>
    <w:p w14:paraId="51CCAC12">
      <w:pPr>
        <w:spacing w:line="360" w:lineRule="auto"/>
        <w:rPr>
          <w:rFonts w:hint="eastAsia" w:ascii="宋体" w:hAnsi="宋体" w:eastAsia="宋体"/>
          <w:sz w:val="24"/>
          <w:szCs w:val="24"/>
          <w:lang w:eastAsia="zh-CN"/>
        </w:rPr>
      </w:pPr>
    </w:p>
    <w:p w14:paraId="6FCE1C24">
      <w:pPr>
        <w:spacing w:line="360" w:lineRule="auto"/>
        <w:rPr>
          <w:rFonts w:hint="eastAsia" w:ascii="宋体" w:hAnsi="宋体" w:eastAsia="宋体"/>
          <w:sz w:val="24"/>
          <w:szCs w:val="24"/>
          <w:lang w:eastAsia="zh-CN"/>
        </w:rPr>
      </w:pPr>
    </w:p>
    <w:p w14:paraId="7F0276FD">
      <w:pPr>
        <w:spacing w:line="360" w:lineRule="auto"/>
        <w:rPr>
          <w:rFonts w:ascii="宋体" w:hAnsi="宋体" w:eastAsia="宋体"/>
          <w:sz w:val="24"/>
          <w:szCs w:val="24"/>
          <w:highlight w:val="none"/>
        </w:rPr>
      </w:pPr>
    </w:p>
    <w:p w14:paraId="7659E0E9">
      <w:pPr>
        <w:pStyle w:val="22"/>
        <w:rPr>
          <w:rFonts w:hint="eastAsia" w:ascii="Times New Roman" w:hAnsi="Times New Roman"/>
        </w:rPr>
      </w:pPr>
      <w:r>
        <w:rPr>
          <w:rFonts w:hint="eastAsia" w:ascii="宋体" w:hAnsi="宋体" w:eastAsia="宋体"/>
          <w:sz w:val="24"/>
          <w:szCs w:val="24"/>
          <w:highlight w:val="none"/>
          <w:lang w:val="en-US" w:eastAsia="zh-CN"/>
        </w:rPr>
        <w:t xml:space="preserve">                          单位名称：</w:t>
      </w:r>
    </w:p>
    <w:p w14:paraId="7D865832">
      <w:pPr>
        <w:pStyle w:val="22"/>
        <w:rPr>
          <w:rFonts w:hint="eastAsia" w:ascii="Times New Roman" w:hAnsi="Times New Roman"/>
        </w:rPr>
      </w:pPr>
    </w:p>
    <w:p w14:paraId="1030DE76">
      <w:pPr>
        <w:pStyle w:val="18"/>
        <w:bidi w:val="0"/>
        <w:rPr>
          <w:rFonts w:hint="default"/>
          <w:lang w:val="en-US" w:eastAsia="zh-CN"/>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E55AF">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CB1232">
                          <w:pPr>
                            <w:pStyle w:val="9"/>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46CB1232">
                    <w:pPr>
                      <w:pStyle w:val="9"/>
                    </w:pPr>
                    <w:r>
                      <w:fldChar w:fldCharType="begin"/>
                    </w:r>
                    <w:r>
                      <w:instrText xml:space="preserve"> PAGE  \* MERGEFORMAT </w:instrText>
                    </w:r>
                    <w:r>
                      <w:fldChar w:fldCharType="separate"/>
                    </w:r>
                    <w:r>
                      <w:t>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D346BF"/>
    <w:multiLevelType w:val="multilevel"/>
    <w:tmpl w:val="34D346BF"/>
    <w:lvl w:ilvl="0" w:tentative="0">
      <w:start w:val="1"/>
      <w:numFmt w:val="decimal"/>
      <w:suff w:val="space"/>
      <w:lvlText w:val="%1 "/>
      <w:lvlJc w:val="left"/>
      <w:pPr>
        <w:ind w:left="540" w:firstLine="0"/>
      </w:pPr>
      <w:rPr>
        <w:rFonts w:hint="default" w:ascii="Arial" w:hAnsi="Arial" w:eastAsia="黑体"/>
      </w:rPr>
    </w:lvl>
    <w:lvl w:ilvl="1" w:tentative="0">
      <w:start w:val="1"/>
      <w:numFmt w:val="decimal"/>
      <w:suff w:val="space"/>
      <w:lvlText w:val="%1.%2 "/>
      <w:lvlJc w:val="left"/>
      <w:pPr>
        <w:ind w:left="-1575" w:firstLine="0"/>
      </w:pPr>
      <w:rPr>
        <w:rFonts w:hint="default" w:ascii="Arial" w:hAnsi="Arial" w:eastAsia="黑体"/>
      </w:rPr>
    </w:lvl>
    <w:lvl w:ilvl="2" w:tentative="0">
      <w:start w:val="1"/>
      <w:numFmt w:val="decimal"/>
      <w:pStyle w:val="6"/>
      <w:suff w:val="space"/>
      <w:lvlText w:val="%1.%2.%3 "/>
      <w:lvlJc w:val="left"/>
      <w:pPr>
        <w:ind w:left="540" w:firstLine="0"/>
      </w:pPr>
      <w:rPr>
        <w:rFonts w:hint="default" w:ascii="Arial" w:hAnsi="Arial" w:eastAsia="黑体"/>
      </w:rPr>
    </w:lvl>
    <w:lvl w:ilvl="3" w:tentative="0">
      <w:start w:val="1"/>
      <w:numFmt w:val="decimal"/>
      <w:pStyle w:val="7"/>
      <w:suff w:val="space"/>
      <w:lvlText w:val="%1.%2.%3.%4 "/>
      <w:lvlJc w:val="left"/>
      <w:pPr>
        <w:ind w:left="180" w:firstLine="0"/>
      </w:pPr>
      <w:rPr>
        <w:rFonts w:hint="default" w:ascii="Arial" w:hAnsi="Arial" w:eastAsia="黑体"/>
      </w:rPr>
    </w:lvl>
    <w:lvl w:ilvl="4" w:tentative="0">
      <w:start w:val="1"/>
      <w:numFmt w:val="decimal"/>
      <w:suff w:val="space"/>
      <w:lvlText w:val="%1.%2.%3.%4.%5 "/>
      <w:lvlJc w:val="left"/>
      <w:pPr>
        <w:ind w:left="1080" w:firstLine="0"/>
      </w:pPr>
      <w:rPr>
        <w:rFonts w:hint="default" w:ascii="Arial" w:hAnsi="Arial" w:eastAsia="黑体"/>
      </w:rPr>
    </w:lvl>
    <w:lvl w:ilvl="5" w:tentative="0">
      <w:start w:val="1"/>
      <w:numFmt w:val="decimal"/>
      <w:suff w:val="space"/>
      <w:lvlText w:val="%1.%2.%3.%4.%5.%6 "/>
      <w:lvlJc w:val="left"/>
      <w:pPr>
        <w:ind w:left="-2520" w:firstLine="0"/>
      </w:pPr>
      <w:rPr>
        <w:rFonts w:hint="default" w:ascii="Arial" w:hAnsi="Arial" w:eastAsia="宋体"/>
      </w:rPr>
    </w:lvl>
    <w:lvl w:ilvl="6" w:tentative="0">
      <w:start w:val="1"/>
      <w:numFmt w:val="decimal"/>
      <w:lvlText w:val="%1.%2.%3.%4.%5.%6.%7"/>
      <w:lvlJc w:val="left"/>
      <w:pPr>
        <w:tabs>
          <w:tab w:val="left" w:pos="-1224"/>
        </w:tabs>
        <w:ind w:left="-1224" w:hanging="1296"/>
      </w:pPr>
      <w:rPr>
        <w:rFonts w:hint="eastAsia"/>
      </w:rPr>
    </w:lvl>
    <w:lvl w:ilvl="7" w:tentative="0">
      <w:start w:val="1"/>
      <w:numFmt w:val="decimal"/>
      <w:lvlText w:val="%1.%2.%3.%4.%5.%6.%7.%8"/>
      <w:lvlJc w:val="left"/>
      <w:pPr>
        <w:tabs>
          <w:tab w:val="left" w:pos="-1080"/>
        </w:tabs>
        <w:ind w:left="-1080" w:hanging="1440"/>
      </w:pPr>
      <w:rPr>
        <w:rFonts w:hint="eastAsia"/>
      </w:rPr>
    </w:lvl>
    <w:lvl w:ilvl="8" w:tentative="0">
      <w:start w:val="1"/>
      <w:numFmt w:val="decimal"/>
      <w:lvlText w:val="%1.%2.%3.%4.%5.%6.%7.%8.%9"/>
      <w:lvlJc w:val="left"/>
      <w:pPr>
        <w:tabs>
          <w:tab w:val="left" w:pos="-936"/>
        </w:tabs>
        <w:ind w:left="-936"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CA77D2"/>
    <w:rsid w:val="13AE7D5A"/>
    <w:rsid w:val="18353FAC"/>
    <w:rsid w:val="2C5B2D1F"/>
    <w:rsid w:val="2E9B2D21"/>
    <w:rsid w:val="321C64B3"/>
    <w:rsid w:val="3AFA2506"/>
    <w:rsid w:val="44CB4946"/>
    <w:rsid w:val="59F75689"/>
    <w:rsid w:val="5AFF0F16"/>
    <w:rsid w:val="61480A39"/>
    <w:rsid w:val="6C025FB6"/>
    <w:rsid w:val="6DA331A0"/>
    <w:rsid w:val="798111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6">
    <w:name w:val="heading 3"/>
    <w:basedOn w:val="1"/>
    <w:next w:val="1"/>
    <w:link w:val="16"/>
    <w:qFormat/>
    <w:uiPriority w:val="9"/>
    <w:pPr>
      <w:keepNext/>
      <w:keepLines/>
      <w:numPr>
        <w:ilvl w:val="2"/>
        <w:numId w:val="1"/>
      </w:numPr>
      <w:spacing w:before="260" w:after="260" w:line="416" w:lineRule="auto"/>
      <w:outlineLvl w:val="2"/>
    </w:pPr>
    <w:rPr>
      <w:b/>
      <w:bCs/>
      <w:sz w:val="32"/>
      <w:szCs w:val="32"/>
    </w:rPr>
  </w:style>
  <w:style w:type="paragraph" w:styleId="7">
    <w:name w:val="heading 4"/>
    <w:basedOn w:val="1"/>
    <w:next w:val="1"/>
    <w:link w:val="19"/>
    <w:qFormat/>
    <w:uiPriority w:val="9"/>
    <w:pPr>
      <w:keepNext/>
      <w:keepLines/>
      <w:numPr>
        <w:ilvl w:val="3"/>
        <w:numId w:val="1"/>
      </w:numPr>
      <w:spacing w:before="280" w:after="290" w:line="376" w:lineRule="auto"/>
      <w:outlineLvl w:val="3"/>
    </w:pPr>
    <w:rPr>
      <w:rFonts w:ascii="Arial" w:hAnsi="Arial" w:eastAsia="黑体"/>
      <w:b/>
      <w:bCs/>
      <w:sz w:val="28"/>
      <w:szCs w:val="28"/>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widowControl/>
      <w:adjustRightInd w:val="0"/>
      <w:snapToGrid w:val="0"/>
      <w:spacing w:line="240" w:lineRule="auto"/>
      <w:ind w:firstLine="420" w:firstLineChars="0"/>
      <w:jc w:val="left"/>
    </w:pPr>
    <w:rPr>
      <w:rFonts w:ascii="Calibri" w:hAnsi="Calibri" w:eastAsia="微软雅黑" w:cs="Calibri"/>
      <w:kern w:val="0"/>
      <w:sz w:val="20"/>
      <w:szCs w:val="20"/>
    </w:rPr>
  </w:style>
  <w:style w:type="paragraph" w:styleId="3">
    <w:name w:val="Body Text Indent"/>
    <w:basedOn w:val="1"/>
    <w:qFormat/>
    <w:uiPriority w:val="0"/>
    <w:pPr>
      <w:spacing w:after="120"/>
      <w:ind w:left="420" w:leftChars="200"/>
    </w:pPr>
    <w:rPr>
      <w:rFonts w:ascii="Times New Roman" w:hAnsi="Times New Roman" w:eastAsia="宋体" w:cs="Times New Roman"/>
      <w:szCs w:val="24"/>
    </w:rPr>
  </w:style>
  <w:style w:type="paragraph" w:styleId="8">
    <w:name w:val="index 5"/>
    <w:basedOn w:val="1"/>
    <w:next w:val="1"/>
    <w:unhideWhenUsed/>
    <w:qFormat/>
    <w:uiPriority w:val="0"/>
    <w:pPr>
      <w:ind w:left="800" w:leftChars="8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customStyle="1" w:styleId="15">
    <w:name w:val="DTX-01"/>
    <w:qFormat/>
    <w:uiPriority w:val="0"/>
    <w:pPr>
      <w:keepNext/>
      <w:widowControl w:val="0"/>
      <w:adjustRightInd w:val="0"/>
      <w:snapToGrid w:val="0"/>
      <w:spacing w:line="700" w:lineRule="exact"/>
      <w:outlineLvl w:val="0"/>
    </w:pPr>
    <w:rPr>
      <w:rFonts w:ascii="Times New Roman" w:hAnsi="Times New Roman" w:eastAsia="黑体" w:cs="Times New Roman"/>
      <w:b/>
      <w:bCs/>
      <w:kern w:val="2"/>
      <w:sz w:val="30"/>
      <w:szCs w:val="24"/>
      <w:lang w:val="en-US" w:eastAsia="zh-CN" w:bidi="ar-SA"/>
    </w:rPr>
  </w:style>
  <w:style w:type="character" w:customStyle="1" w:styleId="16">
    <w:name w:val="标题 3 Char"/>
    <w:link w:val="6"/>
    <w:qFormat/>
    <w:uiPriority w:val="9"/>
    <w:rPr>
      <w:b/>
      <w:bCs/>
      <w:sz w:val="32"/>
      <w:szCs w:val="32"/>
    </w:rPr>
  </w:style>
  <w:style w:type="paragraph" w:customStyle="1" w:styleId="17">
    <w:name w:val="DTX-02"/>
    <w:qFormat/>
    <w:uiPriority w:val="0"/>
    <w:pPr>
      <w:keepNext/>
      <w:keepLines/>
      <w:widowControl w:val="0"/>
      <w:adjustRightInd w:val="0"/>
      <w:snapToGrid w:val="0"/>
      <w:spacing w:line="540" w:lineRule="exact"/>
      <w:jc w:val="both"/>
      <w:outlineLvl w:val="1"/>
    </w:pPr>
    <w:rPr>
      <w:rFonts w:ascii="Times New Roman" w:hAnsi="Times New Roman" w:eastAsia="黑体" w:cs="Times New Roman"/>
      <w:b/>
      <w:bCs/>
      <w:kern w:val="2"/>
      <w:sz w:val="28"/>
      <w:szCs w:val="24"/>
      <w:lang w:val="en-US" w:eastAsia="zh-CN" w:bidi="ar-SA"/>
    </w:rPr>
  </w:style>
  <w:style w:type="paragraph" w:customStyle="1" w:styleId="18">
    <w:name w:val="DTX-WZ"/>
    <w:qFormat/>
    <w:uiPriority w:val="0"/>
    <w:pPr>
      <w:widowControl w:val="0"/>
      <w:adjustRightInd w:val="0"/>
      <w:snapToGrid w:val="0"/>
      <w:spacing w:line="500" w:lineRule="exact"/>
      <w:ind w:firstLine="200" w:firstLineChars="200"/>
      <w:jc w:val="both"/>
    </w:pPr>
    <w:rPr>
      <w:rFonts w:ascii="Times New Roman" w:hAnsi="Times New Roman" w:eastAsia="宋体" w:cs="Times New Roman"/>
      <w:kern w:val="2"/>
      <w:sz w:val="24"/>
      <w:szCs w:val="24"/>
      <w:lang w:val="en-US" w:eastAsia="zh-CN" w:bidi="ar-SA"/>
    </w:rPr>
  </w:style>
  <w:style w:type="character" w:customStyle="1" w:styleId="19">
    <w:name w:val="标题 4 Char"/>
    <w:link w:val="7"/>
    <w:qFormat/>
    <w:uiPriority w:val="9"/>
    <w:rPr>
      <w:rFonts w:ascii="Arial" w:hAnsi="Arial" w:eastAsia="黑体"/>
      <w:b/>
      <w:bCs/>
      <w:sz w:val="28"/>
      <w:szCs w:val="28"/>
    </w:rPr>
  </w:style>
  <w:style w:type="paragraph" w:customStyle="1" w:styleId="20">
    <w:name w:val="DTX-03"/>
    <w:qFormat/>
    <w:uiPriority w:val="0"/>
    <w:pPr>
      <w:keepNext/>
      <w:keepLines/>
      <w:widowControl w:val="0"/>
      <w:tabs>
        <w:tab w:val="left" w:pos="0"/>
      </w:tabs>
      <w:adjustRightInd w:val="0"/>
      <w:snapToGrid w:val="0"/>
      <w:spacing w:line="420" w:lineRule="exact"/>
      <w:outlineLvl w:val="2"/>
    </w:pPr>
    <w:rPr>
      <w:rFonts w:ascii="Times New Roman" w:hAnsi="Times New Roman" w:eastAsia="黑体" w:cs="Times New Roman"/>
      <w:b/>
      <w:bCs/>
      <w:kern w:val="2"/>
      <w:sz w:val="24"/>
      <w:szCs w:val="24"/>
      <w:lang w:val="en-US" w:eastAsia="zh-CN" w:bidi="ar-SA"/>
    </w:rPr>
  </w:style>
  <w:style w:type="paragraph" w:customStyle="1" w:styleId="21">
    <w:name w:val="DTX-04"/>
    <w:basedOn w:val="20"/>
    <w:qFormat/>
    <w:uiPriority w:val="0"/>
    <w:rPr>
      <w:rFonts w:ascii="Times New Roman" w:hAnsi="Times New Roman" w:eastAsia="宋体"/>
    </w:rPr>
  </w:style>
  <w:style w:type="paragraph" w:customStyle="1" w:styleId="22">
    <w:name w:val="0正文"/>
    <w:qFormat/>
    <w:uiPriority w:val="0"/>
    <w:pPr>
      <w:widowControl w:val="0"/>
      <w:spacing w:line="360" w:lineRule="auto"/>
      <w:ind w:firstLine="720" w:firstLineChars="200"/>
      <w:jc w:val="both"/>
    </w:pPr>
    <w:rPr>
      <w:rFonts w:ascii="Times New Roman" w:hAnsi="Times New Roman" w:eastAsia="宋体" w:cs="Times New Roman"/>
      <w:sz w:val="24"/>
      <w:szCs w:val="22"/>
      <w:lang w:val="en-US" w:eastAsia="zh-CN" w:bidi="ar-SA"/>
    </w:rPr>
  </w:style>
  <w:style w:type="paragraph" w:customStyle="1" w:styleId="23">
    <w:name w:val="PT-WZ"/>
    <w:qFormat/>
    <w:uiPriority w:val="0"/>
    <w:pPr>
      <w:widowControl w:val="0"/>
      <w:adjustRightInd w:val="0"/>
      <w:snapToGrid w:val="0"/>
      <w:spacing w:line="480" w:lineRule="exact"/>
      <w:ind w:firstLine="200" w:firstLineChars="200"/>
      <w:jc w:val="both"/>
    </w:pPr>
    <w:rPr>
      <w:rFonts w:ascii="Times New Roman" w:hAnsi="Times New Roman" w:eastAsia="宋体" w:cs="Times New Roman"/>
      <w:kern w:val="2"/>
      <w:sz w:val="24"/>
      <w:szCs w:val="3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1532</Words>
  <Characters>1597</Characters>
  <Lines>0</Lines>
  <Paragraphs>0</Paragraphs>
  <TotalTime>15</TotalTime>
  <ScaleCrop>false</ScaleCrop>
  <LinksUpToDate>false</LinksUpToDate>
  <CharactersWithSpaces>1700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2021-08-11T00:49:00Z</dcterms:created>
  <dc:creator>35088</dc:creator>
  <cp:lastModifiedBy>清水</cp:lastModifiedBy>
  <dcterms:modified xsi:type="dcterms:W3CDTF">2025-09-02T06:40:04Z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343DD2F8278E47988403047B06BDC476_13</vt:lpwstr>
  </property>
  <property fmtid="{D5CDD505-2E9C-101B-9397-08002B2CF9AE}" pid="4" name="KSOTemplateDocerSaveRecord">
    <vt:lpwstr>eyJoZGlkIjoiMGE0MGEyMzJhMjRlOTc1MzcyYWI3MjE5M2EyZGJjZWQiLCJ1c2VySWQiOiIxODU3NDkwMDUifQ==</vt:lpwstr>
  </property>
</Properties>
</file>